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CC" w:rsidRPr="000E7FCC" w:rsidRDefault="000E7FCC" w:rsidP="000E7FCC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tr-TR"/>
        </w:rPr>
      </w:pPr>
    </w:p>
    <w:p w:rsidR="000E7FCC" w:rsidRPr="000E7FCC" w:rsidRDefault="000E7FCC" w:rsidP="000E7FCC">
      <w:pPr>
        <w:spacing w:before="100" w:beforeAutospacing="1" w:after="100" w:afterAutospacing="1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</w:rPr>
      </w:pPr>
      <w:r w:rsidRPr="000E7FCC"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</w:rPr>
        <w:t>MÜSTAHSİL MAKBUZU</w:t>
      </w:r>
    </w:p>
    <w:p w:rsidR="000E7FCC" w:rsidRPr="000E7FCC" w:rsidRDefault="000E7FCC" w:rsidP="000E7FCC">
      <w:pPr>
        <w:rPr>
          <w:rFonts w:ascii="Times New Roman" w:hAnsi="Times New Roman" w:cs="Times New Roman"/>
        </w:rPr>
      </w:pPr>
      <w:r w:rsidRPr="000E7FCC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1. Müstahsil Makbuzunun Tanımı:</w:t>
      </w:r>
      <w:r w:rsidRPr="000E7FCC">
        <w:rPr>
          <w:rFonts w:ascii="Times New Roman" w:eastAsia="Times New Roman" w:hAnsi="Times New Roman" w:cs="Times New Roman"/>
          <w:color w:val="000000"/>
          <w:lang w:eastAsia="tr-TR"/>
        </w:rPr>
        <w:t> Defter tutan çiftçilerin veya toptancıların, defter tutmayan çiftçilerden satın aldıkları ürünler karşılığında düzenledikleri ticari belgeye müstahsil makbuzu denir. Çiftçiye imzalatılan belgenin kopyası işletmecide, aslı ise çiftçide kalır.</w:t>
      </w:r>
    </w:p>
    <w:tbl>
      <w:tblPr>
        <w:tblW w:w="9134" w:type="dxa"/>
        <w:jc w:val="center"/>
        <w:tblCellSpacing w:w="0" w:type="dxa"/>
        <w:tblInd w:w="1891" w:type="dxa"/>
        <w:tblCellMar>
          <w:left w:w="0" w:type="dxa"/>
          <w:right w:w="0" w:type="dxa"/>
        </w:tblCellMar>
        <w:tblLook w:val="04A0"/>
      </w:tblPr>
      <w:tblGrid>
        <w:gridCol w:w="3764"/>
        <w:gridCol w:w="5370"/>
      </w:tblGrid>
      <w:tr w:rsidR="000E7FCC" w:rsidRPr="000E7FCC" w:rsidTr="000E7FCC">
        <w:trPr>
          <w:trHeight w:val="5700"/>
          <w:tblCellSpacing w:w="0" w:type="dxa"/>
          <w:jc w:val="center"/>
        </w:trPr>
        <w:tc>
          <w:tcPr>
            <w:tcW w:w="4409" w:type="dxa"/>
            <w:hideMark/>
          </w:tcPr>
          <w:p w:rsidR="000E7FCC" w:rsidRPr="000E7FCC" w:rsidRDefault="000E7FCC" w:rsidP="000E7FC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E7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2. Müstahsil Makbuzunun Tarafları: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Müstahsil makbuzunda ürünü satan ve ürünü satın alan taraf vardır. Buna göre yapılan satış işlemindeki tarafları aşağıdaki gibi belirlemek mümkündür:</w:t>
            </w:r>
          </w:p>
          <w:p w:rsidR="000E7FCC" w:rsidRPr="000E7FCC" w:rsidRDefault="000E7FCC" w:rsidP="000E7FC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E7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2.1. Satıcı (Üretici Çiftçi): 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Ticari belge veremez.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 xml:space="preserve">- Müstahsil makbuzunu </w:t>
            </w:r>
            <w:proofErr w:type="gramStart"/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imzalar.d</w:t>
            </w:r>
            <w:proofErr w:type="gramEnd"/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Belgenin aslını alır.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Satış bedelini alır.</w:t>
            </w:r>
          </w:p>
          <w:p w:rsidR="000E7FCC" w:rsidRPr="000E7FCC" w:rsidRDefault="000E7FCC" w:rsidP="000E7FC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E7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2.2. Alıcı (Defter Tutan Çiftçi):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Müstahsil makbuzunu düzenler.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Ticari belge verebilir.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Belgenin kopyasını alır.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Satış bedelini öder.</w:t>
            </w:r>
          </w:p>
          <w:p w:rsidR="000E7FCC" w:rsidRPr="000E7FCC" w:rsidRDefault="000E7FCC" w:rsidP="000E7FC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725" w:type="dxa"/>
            <w:hideMark/>
          </w:tcPr>
          <w:p w:rsidR="000E7FCC" w:rsidRPr="000E7FCC" w:rsidRDefault="000E7FCC" w:rsidP="000E7FC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E7FCC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3381375" cy="3390900"/>
                  <wp:effectExtent l="19050" t="0" r="9525" b="0"/>
                  <wp:docPr id="3" name="Resim 3" descr="http://www.abmatbaa.com/wp-content/uploads/2013/11/mustahs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bmatbaa.com/wp-content/uploads/2013/11/mustahs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33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7FCC" w:rsidRPr="000E7FCC" w:rsidTr="000E7FCC">
        <w:trPr>
          <w:tblCellSpacing w:w="0" w:type="dxa"/>
          <w:jc w:val="center"/>
        </w:trPr>
        <w:tc>
          <w:tcPr>
            <w:tcW w:w="9134" w:type="dxa"/>
            <w:gridSpan w:val="2"/>
            <w:hideMark/>
          </w:tcPr>
          <w:p w:rsidR="000E7FCC" w:rsidRPr="000E7FCC" w:rsidRDefault="000E7FCC" w:rsidP="000E7FC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E7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3. Müstahsil Makbuzunun Şekli: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Müstahsil makbuzunun da belirlenmiş şekli yoktur. Ancak Vergi Usul Kanunu Madde 235’te bulunması gereken şartları yer alır.</w:t>
            </w:r>
          </w:p>
          <w:p w:rsidR="000E7FCC" w:rsidRPr="000E7FCC" w:rsidRDefault="000E7FCC" w:rsidP="000E7FC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E7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4. Müstahsil makbuzu düzenleme esasları ve zamanı: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Müstahsil makbuzu bedelin ödenmesi sırasında iki nüsha olarak düzenlenmeli ve en az şu bilgileri içermelidir.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Makbuzun tarihi,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 xml:space="preserve">- Malı satın alan tüccar veya çiftçinin soyadı, adı, </w:t>
            </w:r>
            <w:proofErr w:type="spellStart"/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ünvanı</w:t>
            </w:r>
            <w:proofErr w:type="spellEnd"/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ve adresi,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Malı satan çiftçinin soyadı, adı ve ikametgâh adresi,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Satın alınan malın cinsi, miktarı ve bedeli.</w:t>
            </w:r>
          </w:p>
          <w:p w:rsidR="000E7FCC" w:rsidRPr="000E7FCC" w:rsidRDefault="000E7FCC" w:rsidP="000E7FC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E7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5. Müstahsil Makbuzunun Temini: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Müstahsil makbuzunu temin işlemleri gider pusulasında uygulanan kurallara göre iki şekilde temin edilir.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Noterlerden,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>- Maliyenin anlaşmalı matbaalarından,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br/>
              <w:t xml:space="preserve">Vergi Usul Kanunu temin zamanını tüm fatura ve yerine geçen belgeler için tek şekilde </w:t>
            </w:r>
            <w:proofErr w:type="gramStart"/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belirlemiştir.Yeni</w:t>
            </w:r>
            <w:proofErr w:type="gramEnd"/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işe başlayacak işletmeler, işe başlamadan önce, ellerinde kullandıkları koçanları bitenler bu belgeleri bitmeden önce müstahsil makbuzlarını temin ederler.</w:t>
            </w:r>
          </w:p>
          <w:p w:rsidR="000E7FCC" w:rsidRPr="000E7FCC" w:rsidRDefault="000E7FCC" w:rsidP="000E7FCC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E7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6. Müstahsil Makbuzunda Gelir Vergisi Kesintisi (Stopaj Yapma):</w:t>
            </w:r>
            <w:r w:rsidRPr="000E7FC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Defter tutmayan çiftçilerden alınan ürünler üzerinden Gelir Vergisi Kanunu Madde 94’e göre gelir vergisi kesilerek kalan satıcıya ödenir.</w:t>
            </w:r>
          </w:p>
        </w:tc>
      </w:tr>
    </w:tbl>
    <w:p w:rsidR="00A32429" w:rsidRPr="000E7FCC" w:rsidRDefault="00A32429" w:rsidP="000E7FCC">
      <w:pPr>
        <w:rPr>
          <w:rFonts w:ascii="Times New Roman" w:hAnsi="Times New Roman" w:cs="Times New Roman"/>
        </w:rPr>
      </w:pPr>
    </w:p>
    <w:sectPr w:rsidR="00A32429" w:rsidRPr="000E7FCC" w:rsidSect="0043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3020D"/>
    <w:multiLevelType w:val="hybridMultilevel"/>
    <w:tmpl w:val="C17640C6"/>
    <w:lvl w:ilvl="0" w:tplc="09DE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429"/>
    <w:rsid w:val="000E7FCC"/>
    <w:rsid w:val="00437BA0"/>
    <w:rsid w:val="005A1549"/>
    <w:rsid w:val="00765242"/>
    <w:rsid w:val="00A32429"/>
    <w:rsid w:val="00AC2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BA0"/>
  </w:style>
  <w:style w:type="paragraph" w:styleId="Balk1">
    <w:name w:val="heading 1"/>
    <w:basedOn w:val="Normal"/>
    <w:link w:val="Balk1Char"/>
    <w:uiPriority w:val="9"/>
    <w:qFormat/>
    <w:rsid w:val="000E7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2429"/>
    <w:rPr>
      <w:b/>
      <w:bCs/>
    </w:rPr>
  </w:style>
  <w:style w:type="character" w:customStyle="1" w:styleId="apple-converted-space">
    <w:name w:val="apple-converted-space"/>
    <w:basedOn w:val="VarsaylanParagrafYazTipi"/>
    <w:rsid w:val="00A32429"/>
  </w:style>
  <w:style w:type="paragraph" w:styleId="BalonMetni">
    <w:name w:val="Balloon Text"/>
    <w:basedOn w:val="Normal"/>
    <w:link w:val="BalonMetniChar"/>
    <w:uiPriority w:val="99"/>
    <w:semiHidden/>
    <w:unhideWhenUsed/>
    <w:rsid w:val="00A3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42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0E7FC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Müdür</dc:creator>
  <cp:lastModifiedBy>Müdür</cp:lastModifiedBy>
  <cp:revision>2</cp:revision>
  <dcterms:created xsi:type="dcterms:W3CDTF">2016-03-17T12:25:00Z</dcterms:created>
  <dcterms:modified xsi:type="dcterms:W3CDTF">2016-03-17T12:25:00Z</dcterms:modified>
</cp:coreProperties>
</file>